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b/>
          <w:b/>
          <w:sz w:val="36"/>
          <w:szCs w:val="36"/>
          <w:lang w:val="es-ES" w:eastAsia="es-ES"/>
        </w:rPr>
      </w:pPr>
      <w:r>
        <w:rPr>
          <w:rFonts w:cs="Palatino Linotype" w:ascii="Palatino Linotype" w:hAnsi="Palatino Linotype"/>
          <w:b/>
          <w:bCs/>
          <w:sz w:val="36"/>
          <w:szCs w:val="36"/>
          <w:lang w:val="es-ES"/>
        </w:rPr>
        <w:t>III COLOQUIO BIZANTINO DE LA UBA</w:t>
      </w:r>
    </w:p>
    <w:p>
      <w:pPr>
        <w:pStyle w:val="Normal"/>
        <w:ind w:right="-342"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Third Byzantine Colloquium of the University of Buenos Aires</w:t>
      </w:r>
    </w:p>
    <w:p>
      <w:pPr>
        <w:pStyle w:val="Normal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La narración en Bizancio</w:t>
      </w:r>
    </w:p>
    <w:p>
      <w:pPr>
        <w:pStyle w:val="Normal"/>
        <w:ind w:right="-342" w:hanging="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  <w:t>Perspectivas narratológicas sincrónicas y diacrónicas</w:t>
      </w:r>
    </w:p>
    <w:p>
      <w:pPr>
        <w:pStyle w:val="Normal"/>
        <w:spacing w:lineRule="auto" w:line="240" w:before="0" w:after="0"/>
        <w:ind w:right="-3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Narration in Byzantium</w:t>
      </w:r>
    </w:p>
    <w:p>
      <w:pPr>
        <w:pStyle w:val="Normal"/>
        <w:spacing w:lineRule="auto" w:line="240" w:before="0" w:after="0"/>
        <w:ind w:right="-34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Synchronic and Diachronic Narratological Perspectives</w:t>
      </w:r>
    </w:p>
    <w:p>
      <w:pPr>
        <w:pStyle w:val="Normal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b/>
          <w:b/>
          <w:bCs/>
          <w:sz w:val="28"/>
          <w:szCs w:val="28"/>
        </w:rPr>
      </w:pPr>
      <w:r>
        <w:rPr>
          <w:rFonts w:cs="Palatino Linotype" w:ascii="Palatino Linotype" w:hAnsi="Palatino Linotype"/>
          <w:b/>
          <w:bCs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bCs/>
          <w:sz w:val="28"/>
          <w:szCs w:val="28"/>
        </w:rPr>
      </w:pPr>
      <w:r>
        <w:rPr>
          <w:rFonts w:cs="Palatino Linotype" w:ascii="Palatino Linotype" w:hAnsi="Palatino Linotype"/>
          <w:bCs/>
          <w:sz w:val="28"/>
          <w:szCs w:val="28"/>
        </w:rPr>
        <w:t>29 y 30 de agosto de 2019 / August, the 29-30</w:t>
      </w:r>
      <w:r>
        <w:rPr>
          <w:rFonts w:cs="Palatino Linotype" w:ascii="Palatino Linotype" w:hAnsi="Palatino Linotype"/>
          <w:bCs/>
          <w:sz w:val="28"/>
          <w:szCs w:val="28"/>
          <w:vertAlign w:val="superscript"/>
        </w:rPr>
        <w:t>th</w:t>
      </w:r>
      <w:r>
        <w:rPr>
          <w:rFonts w:cs="Palatino Linotype" w:ascii="Palatino Linotype" w:hAnsi="Palatino Linotype"/>
          <w:bCs/>
          <w:sz w:val="28"/>
          <w:szCs w:val="28"/>
        </w:rPr>
        <w:t xml:space="preserve"> 2019</w:t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>Sección de Filología medieval – Instituto de Filología clásica</w:t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>Facultad de Filosofía y Letras (Resol. CS 952/18)</w:t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</w:r>
    </w:p>
    <w:p>
      <w:pPr>
        <w:pStyle w:val="Normal"/>
        <w:shd w:fill="FFFFFF" w:val="clear"/>
        <w:spacing w:lineRule="auto" w:line="240" w:before="0" w:after="0"/>
        <w:ind w:right="-340" w:hanging="0"/>
        <w:jc w:val="center"/>
        <w:rPr>
          <w:rFonts w:ascii="Palatino Linotype" w:hAnsi="Palatino Linotype" w:cs="Palatino Linotype"/>
          <w:sz w:val="28"/>
          <w:szCs w:val="28"/>
        </w:rPr>
      </w:pPr>
      <w:r>
        <w:rPr>
          <w:rFonts w:cs="Palatino Linotype" w:ascii="Palatino Linotype" w:hAnsi="Palatino Linotype"/>
          <w:sz w:val="28"/>
          <w:szCs w:val="28"/>
        </w:rPr>
        <w:t>* * *</w:t>
      </w:r>
    </w:p>
    <w:p>
      <w:pPr>
        <w:pStyle w:val="Normal"/>
        <w:ind w:right="-342" w:hanging="0"/>
        <w:jc w:val="center"/>
        <w:rPr/>
      </w:pPr>
      <w:r>
        <w:rPr>
          <w:b/>
          <w:u w:val="single"/>
        </w:rPr>
        <w:t>Lugar</w:t>
      </w:r>
      <w:r>
        <w:rPr>
          <w:b/>
        </w:rPr>
        <w:t xml:space="preserve">: </w:t>
      </w:r>
      <w:r>
        <w:rPr>
          <w:b/>
          <w:u w:val="single"/>
        </w:rPr>
        <w:t xml:space="preserve">Puan 480 </w:t>
      </w:r>
    </w:p>
    <w:p>
      <w:pPr>
        <w:pStyle w:val="Normal"/>
        <w:ind w:right="-342" w:hanging="0"/>
        <w:jc w:val="center"/>
        <w:rPr/>
      </w:pPr>
      <w:r>
        <w:rPr>
          <w:b/>
        </w:rPr>
        <w:t>(barrio Caballito: estación “Puan” del subte/metro A)</w:t>
      </w:r>
    </w:p>
    <w:p>
      <w:pPr>
        <w:pStyle w:val="Normal"/>
        <w:ind w:right="-3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spacing w:lineRule="auto" w:line="240" w:before="0" w:after="0"/>
        <w:jc w:val="center"/>
        <w:rPr>
          <w:rFonts w:ascii="Palatino Linotype" w:hAnsi="Palatino Linotype" w:cs="Palatino Linotype"/>
          <w:b/>
          <w:b/>
          <w:sz w:val="40"/>
          <w:szCs w:val="40"/>
        </w:rPr>
      </w:pPr>
      <w:r>
        <w:rPr>
          <w:rFonts w:cs="Palatino Linotype" w:ascii="Palatino Linotype" w:hAnsi="Palatino Linotype"/>
          <w:b/>
          <w:sz w:val="40"/>
          <w:szCs w:val="40"/>
        </w:rPr>
        <w:t>PROGRAMA</w:t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  <w:b/>
          <w:b/>
          <w:sz w:val="40"/>
          <w:szCs w:val="40"/>
        </w:rPr>
      </w:pPr>
      <w:r>
        <w:rPr>
          <w:rFonts w:cs="Palatino Linotype" w:ascii="Palatino Linotype" w:hAnsi="Palatino Linotype"/>
          <w:b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  <w:b/>
          <w:b/>
          <w:sz w:val="28"/>
          <w:szCs w:val="28"/>
          <w:u w:val="single"/>
        </w:rPr>
      </w:pPr>
      <w:r>
        <w:rPr>
          <w:rFonts w:cs="Palatino Linotype" w:ascii="Palatino Linotype" w:hAnsi="Palatino Linotype"/>
          <w:b/>
          <w:sz w:val="28"/>
          <w:szCs w:val="28"/>
          <w:u w:val="single"/>
        </w:rPr>
        <w:t>JUEVES 29 de AGOSTO</w:t>
      </w:r>
    </w:p>
    <w:p>
      <w:pPr>
        <w:pStyle w:val="Normal"/>
        <w:spacing w:lineRule="auto" w:line="240" w:before="0" w:after="0"/>
        <w:ind w:right="-316" w:hanging="0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>Sala del Consejo Directivo. 2º piso</w:t>
      </w:r>
    </w:p>
    <w:p>
      <w:pPr>
        <w:pStyle w:val="Normal"/>
        <w:spacing w:lineRule="auto" w:line="240" w:before="0" w:after="0"/>
        <w:ind w:right="-316" w:hanging="0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Normal"/>
        <w:spacing w:lineRule="auto" w:line="240" w:before="0" w:after="0"/>
        <w:ind w:right="-316" w:hanging="0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  <w:t xml:space="preserve">9 </w:t>
        <w:tab/>
        <w:t>Inscripción / café de recepción</w:t>
      </w:r>
    </w:p>
    <w:p>
      <w:pPr>
        <w:pStyle w:val="Normal"/>
        <w:spacing w:lineRule="auto" w:line="240" w:before="0" w:after="0"/>
        <w:ind w:right="-316" w:hanging="0"/>
        <w:rPr/>
      </w:pPr>
      <w:r>
        <w:rPr>
          <w:rFonts w:cs="Palatino Linotype" w:ascii="Palatino Linotype" w:hAnsi="Palatino Linotype"/>
          <w:b/>
        </w:rPr>
        <w:t>9:30</w:t>
        <w:tab/>
        <w:t>Palabras de apertura</w:t>
      </w:r>
    </w:p>
    <w:p>
      <w:pPr>
        <w:pStyle w:val="Normal"/>
        <w:shd w:fill="FFFFFF" w:val="clear"/>
        <w:spacing w:lineRule="auto" w:line="240" w:before="0" w:after="0"/>
        <w:ind w:left="720" w:right="70" w:hanging="720"/>
        <w:jc w:val="both"/>
        <w:rPr>
          <w:rFonts w:ascii="Palatino Linotype" w:hAnsi="Palatino Linotype" w:cs="Palatino Linotype"/>
          <w:highlight w:val="white"/>
        </w:rPr>
      </w:pPr>
      <w:r>
        <w:rPr>
          <w:rFonts w:cs="Palatino Linotype" w:ascii="Palatino Linotype" w:hAnsi="Palatino Linotype"/>
          <w:b/>
        </w:rPr>
        <w:t xml:space="preserve">9:40 </w:t>
        <w:tab/>
        <w:t xml:space="preserve">Conferencia inaugural: Dr. </w:t>
      </w:r>
      <w:r>
        <w:rPr>
          <w:rFonts w:cs="Palatino Linotype" w:ascii="Palatino Linotype" w:hAnsi="Palatino Linotype"/>
          <w:b/>
          <w:smallCaps/>
        </w:rPr>
        <w:t>Reinhart Ceulemans</w:t>
      </w:r>
      <w:r>
        <w:rPr>
          <w:rFonts w:cs="Palatino Linotype" w:ascii="Palatino Linotype" w:hAnsi="Palatino Linotype"/>
          <w:b/>
        </w:rPr>
        <w:t xml:space="preserve"> </w:t>
      </w:r>
      <w:r>
        <w:rPr>
          <w:rFonts w:cs="Palatino Linotype" w:ascii="Palatino Linotype" w:hAnsi="Palatino Linotype"/>
        </w:rPr>
        <w:t>(Leuven Universiteit, Bélgica) “</w:t>
      </w:r>
      <w:r>
        <w:rPr>
          <w:rFonts w:cs="Palatino Linotype" w:ascii="Palatino Linotype" w:hAnsi="Palatino Linotype"/>
          <w:shd w:fill="FFFFFF" w:val="clear"/>
        </w:rPr>
        <w:t>Biblical Justification for Imperial Anti-Judaism in Middle-Byzantine Literature”</w:t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  <w:shd w:fill="FFFFFF" w:val="clear"/>
        </w:rPr>
      </w:pPr>
      <w:r>
        <w:rPr>
          <w:rFonts w:cs="Palatino Linotype" w:ascii="Palatino Linotype" w:hAnsi="Palatino Linotype"/>
          <w:shd w:fill="FFFFFF" w:val="clear"/>
        </w:rPr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</w:rPr>
        <w:t>Ponencias</w:t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</w:rPr>
      </w:pPr>
      <w:r>
        <w:rPr>
          <w:rFonts w:cs="Times New Roman" w:ascii="Palatino Linotype" w:hAnsi="Palatino Linotype"/>
          <w:smallCaps/>
          <w:lang w:val="es-ES"/>
        </w:rPr>
        <w:t xml:space="preserve">10:30 </w:t>
        <w:tab/>
      </w:r>
      <w:r>
        <w:rPr>
          <w:rFonts w:cs="Palatino Linotype" w:ascii="Palatino Linotype" w:hAnsi="Palatino Linotype"/>
          <w:b/>
          <w:smallCaps/>
        </w:rPr>
        <w:t>Carbó</w:t>
      </w:r>
      <w:r>
        <w:rPr>
          <w:rFonts w:cs="Palatino Linotype" w:ascii="Palatino Linotype" w:hAnsi="Palatino Linotype"/>
          <w:b/>
        </w:rPr>
        <w:t xml:space="preserve">, Laura </w:t>
      </w:r>
      <w:r>
        <w:rPr>
          <w:rFonts w:cs="Palatino Linotype" w:ascii="Palatino Linotype" w:hAnsi="Palatino Linotype"/>
        </w:rPr>
        <w:t>Grupo de Investigaciones y Estudios Medievales (GIEM-U.N. MdP) – “Los XL Mártires de Sebaste: sensorialidad y redención”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mallCaps/>
          <w:lang w:val="es-ES"/>
        </w:rPr>
        <w:t xml:space="preserve">11 </w:t>
        <w:tab/>
      </w:r>
      <w:r>
        <w:rPr>
          <w:rFonts w:cs="Palatino Linotype" w:ascii="Palatino Linotype" w:hAnsi="Palatino Linotype"/>
          <w:b/>
          <w:smallCaps/>
        </w:rPr>
        <w:t>Francisco</w:t>
      </w:r>
      <w:r>
        <w:rPr>
          <w:rFonts w:cs="Palatino Linotype" w:ascii="Palatino Linotype" w:hAnsi="Palatino Linotype"/>
          <w:b/>
        </w:rPr>
        <w:t>, Héctor Ricardo</w:t>
      </w:r>
      <w:r>
        <w:rPr>
          <w:rFonts w:cs="Palatino Linotype" w:ascii="Palatino Linotype" w:hAnsi="Palatino Linotype"/>
        </w:rPr>
        <w:t xml:space="preserve"> (IMHICIHU-CONICET/UBA) “Motivos bíblicos en los diálogos polémicos de la literatura martirial en lengua siríaca”</w:t>
      </w:r>
    </w:p>
    <w:p>
      <w:pPr>
        <w:pStyle w:val="Cuerpodetexto"/>
        <w:spacing w:lineRule="auto" w:line="240" w:before="0" w:after="0"/>
        <w:ind w:left="720" w:hanging="720"/>
        <w:jc w:val="both"/>
        <w:rPr/>
      </w:pPr>
      <w:r>
        <w:rPr>
          <w:rFonts w:cs="Helvetica" w:ascii="Palatino Linotype" w:hAnsi="Palatino Linotype"/>
          <w:smallCaps/>
        </w:rPr>
        <w:t>11:30</w:t>
        <w:tab/>
      </w:r>
      <w:r>
        <w:rPr>
          <w:rFonts w:cs="Palatino Linotype" w:ascii="Palatino Linotype" w:hAnsi="Palatino Linotype"/>
          <w:b/>
          <w:smallCaps/>
        </w:rPr>
        <w:t>Gutiérrez</w:t>
      </w:r>
      <w:r>
        <w:rPr>
          <w:rFonts w:cs="Palatino Linotype" w:ascii="Palatino Linotype" w:hAnsi="Palatino Linotype"/>
        </w:rPr>
        <w:t xml:space="preserve">, </w:t>
      </w:r>
      <w:r>
        <w:rPr>
          <w:rFonts w:cs="Palatino Linotype" w:ascii="Palatino Linotype" w:hAnsi="Palatino Linotype"/>
          <w:b/>
        </w:rPr>
        <w:t>Daniel</w:t>
      </w:r>
      <w:r>
        <w:rPr>
          <w:rFonts w:cs="Palatino Linotype" w:ascii="Palatino Linotype" w:hAnsi="Palatino Linotype"/>
        </w:rPr>
        <w:t xml:space="preserve"> (UBA) “</w:t>
      </w:r>
      <w:r>
        <w:rPr>
          <w:rFonts w:cs="Palatino Linotype" w:ascii="Palatino Linotype" w:hAnsi="Palatino Linotype"/>
          <w:lang w:val="es-AR"/>
        </w:rPr>
        <w:t xml:space="preserve">Función narrativa de la voz autoral en </w:t>
      </w:r>
      <w:r>
        <w:rPr>
          <w:rFonts w:cs="Palatino Linotype" w:ascii="Palatino Linotype" w:hAnsi="Palatino Linotype"/>
          <w:i/>
          <w:lang w:val="es-AR"/>
        </w:rPr>
        <w:t>Hero y Le</w:t>
        <w:softHyphen/>
        <w:t>an</w:t>
        <w:softHyphen/>
        <w:t>dro</w:t>
      </w:r>
      <w:r>
        <w:rPr>
          <w:rFonts w:cs="Palatino Linotype" w:ascii="Palatino Linotype" w:hAnsi="Palatino Linotype"/>
          <w:lang w:val="es-AR"/>
        </w:rPr>
        <w:t xml:space="preserve"> de Museo”</w:t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b w:val="false"/>
          <w:b w:val="false"/>
          <w:smallCaps/>
          <w:sz w:val="22"/>
          <w:szCs w:val="22"/>
        </w:rPr>
      </w:pPr>
      <w:r>
        <w:rPr>
          <w:rFonts w:cs="Helvetica" w:ascii="Palatino Linotype" w:hAnsi="Palatino Linotype"/>
          <w:b w:val="false"/>
          <w:sz w:val="22"/>
          <w:szCs w:val="22"/>
        </w:rPr>
        <w:t>12</w:t>
        <w:tab/>
      </w:r>
      <w:r>
        <w:rPr>
          <w:rFonts w:cs="Palatino Linotype" w:ascii="Palatino Linotype" w:hAnsi="Palatino Linotype"/>
          <w:smallCaps/>
          <w:sz w:val="22"/>
          <w:szCs w:val="22"/>
        </w:rPr>
        <w:t>Rey</w:t>
      </w:r>
      <w:r>
        <w:rPr>
          <w:rFonts w:cs="Palatino Linotype" w:ascii="Palatino Linotype" w:hAnsi="Palatino Linotype"/>
          <w:sz w:val="22"/>
          <w:szCs w:val="22"/>
        </w:rPr>
        <w:t>, Iván</w:t>
      </w:r>
      <w:r>
        <w:rPr>
          <w:rFonts w:cs="Palatino Linotype" w:ascii="Palatino Linotype" w:hAnsi="Palatino Linotype"/>
          <w:b w:val="false"/>
          <w:sz w:val="22"/>
          <w:szCs w:val="22"/>
        </w:rPr>
        <w:t xml:space="preserve"> (Univ. Nacional de Tres de Febrero) “Narrando las guerras de Bi</w:t>
        <w:softHyphen/>
        <w:t>zan</w:t>
        <w:softHyphen/>
        <w:t>cio. Ti</w:t>
        <w:softHyphen/>
        <w:t>po</w:t>
        <w:softHyphen/>
        <w:t xml:space="preserve">logías textuales, guerra y administración en los siglos </w:t>
      </w:r>
      <w:r>
        <w:rPr>
          <w:rFonts w:cs="Palatino Linotype" w:ascii="Palatino Linotype" w:hAnsi="Palatino Linotype"/>
          <w:b w:val="false"/>
          <w:smallCaps/>
          <w:sz w:val="22"/>
          <w:szCs w:val="22"/>
        </w:rPr>
        <w:t>vi-vii”</w:t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720" w:hanging="720"/>
        <w:jc w:val="both"/>
        <w:rPr/>
      </w:pPr>
      <w:r>
        <w:rPr>
          <w:rFonts w:cs="Helvetica" w:ascii="Palatino Linotype" w:hAnsi="Palatino Linotype"/>
          <w:b w:val="false"/>
          <w:sz w:val="22"/>
          <w:szCs w:val="22"/>
        </w:rPr>
        <w:t>12:30</w:t>
        <w:tab/>
      </w:r>
      <w:r>
        <w:rPr>
          <w:rFonts w:cs="Palatino Linotype" w:ascii="Palatino Linotype" w:hAnsi="Palatino Linotype"/>
          <w:smallCaps/>
          <w:sz w:val="22"/>
          <w:szCs w:val="22"/>
        </w:rPr>
        <w:t>Rigueiro García</w:t>
      </w:r>
      <w:r>
        <w:rPr>
          <w:rFonts w:cs="Palatino Linotype" w:ascii="Palatino Linotype" w:hAnsi="Palatino Linotype"/>
          <w:sz w:val="22"/>
          <w:szCs w:val="22"/>
        </w:rPr>
        <w:t>, Jorge</w:t>
      </w:r>
      <w:r>
        <w:rPr>
          <w:rFonts w:cs="Palatino Linotype" w:ascii="Palatino Linotype" w:hAnsi="Palatino Linotype"/>
          <w:b w:val="false"/>
          <w:sz w:val="22"/>
          <w:szCs w:val="22"/>
        </w:rPr>
        <w:t xml:space="preserve"> (UBA-UNMdP) “</w:t>
      </w:r>
      <w:r>
        <w:rPr>
          <w:rFonts w:cs="Times New Roman" w:ascii="Palatino Linotype" w:hAnsi="Palatino Linotype"/>
          <w:b w:val="false"/>
          <w:color w:val="000000"/>
          <w:sz w:val="22"/>
          <w:szCs w:val="22"/>
          <w:shd w:fill="FFFFFF" w:val="clear"/>
        </w:rPr>
        <w:t>La mujer en los mosaicos bizantinos ra</w:t>
        <w:softHyphen/>
        <w:t>veneses (siglos V – VII)”</w:t>
      </w:r>
    </w:p>
    <w:p>
      <w:pPr>
        <w:pStyle w:val="Normal"/>
        <w:spacing w:lineRule="auto" w:line="240" w:before="0" w:after="0"/>
        <w:ind w:left="720" w:right="-316" w:hanging="720"/>
        <w:jc w:val="both"/>
        <w:rPr>
          <w:rFonts w:ascii="Palatino Linotype" w:hAnsi="Palatino Linotype" w:cs="Helvetica"/>
          <w:b/>
          <w:b/>
          <w:color w:val="000000"/>
          <w:sz w:val="22"/>
          <w:szCs w:val="22"/>
          <w:shd w:fill="FFFFFF" w:val="clear"/>
        </w:rPr>
      </w:pPr>
      <w:r>
        <w:rPr>
          <w:rFonts w:cs="Helvetica" w:ascii="Palatino Linotype" w:hAnsi="Palatino Linotype"/>
          <w:b/>
          <w:color w:val="000000"/>
          <w:sz w:val="22"/>
          <w:szCs w:val="22"/>
          <w:shd w:fill="FFFFFF" w:val="clear"/>
        </w:rPr>
      </w:r>
    </w:p>
    <w:p>
      <w:pPr>
        <w:pStyle w:val="Normal"/>
        <w:spacing w:lineRule="auto" w:line="240" w:before="0" w:after="0"/>
        <w:ind w:left="720" w:right="-316" w:hanging="720"/>
        <w:rPr/>
      </w:pPr>
      <w:r>
        <w:rPr>
          <w:rFonts w:cs="Palatino Linotype" w:ascii="Palatino Linotype" w:hAnsi="Palatino Linotype"/>
          <w:smallCaps/>
        </w:rPr>
        <w:t xml:space="preserve">13 </w:t>
      </w:r>
      <w:r>
        <w:rPr>
          <w:rFonts w:cs="Palatino Linotype" w:ascii="Palatino Linotype" w:hAnsi="Palatino Linotype"/>
        </w:rPr>
        <w:t>a</w:t>
      </w:r>
      <w:r>
        <w:rPr>
          <w:rFonts w:cs="Palatino Linotype" w:ascii="Palatino Linotype" w:hAnsi="Palatino Linotype"/>
          <w:smallCaps/>
        </w:rPr>
        <w:t xml:space="preserve"> 14:30</w:t>
        <w:tab/>
        <w:t>INTERVALO PARA EL ALMUERZO</w:t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smallCaps/>
        </w:rPr>
      </w:r>
    </w:p>
    <w:p>
      <w:pPr>
        <w:pStyle w:val="Cuerpodetexto"/>
        <w:spacing w:lineRule="auto" w:line="240" w:before="0" w:after="0"/>
        <w:ind w:left="720" w:hanging="720"/>
        <w:jc w:val="both"/>
        <w:rPr/>
      </w:pPr>
      <w:r>
        <w:rPr>
          <w:rFonts w:cs="Palatino Linotype" w:ascii="Palatino Linotype" w:hAnsi="Palatino Linotype"/>
          <w:smallCaps/>
        </w:rPr>
        <w:t xml:space="preserve">14: 30 </w:t>
        <w:tab/>
      </w:r>
      <w:r>
        <w:rPr>
          <w:rFonts w:cs="Palatino Linotype" w:ascii="Palatino Linotype" w:hAnsi="Palatino Linotype"/>
          <w:b/>
          <w:smallCaps/>
          <w:lang w:val="es-ES"/>
        </w:rPr>
        <w:t xml:space="preserve">Sznol, </w:t>
      </w:r>
      <w:r>
        <w:rPr>
          <w:rFonts w:cs="Palatino Linotype" w:ascii="Palatino Linotype" w:hAnsi="Palatino Linotype"/>
          <w:b/>
          <w:lang w:val="es-ES"/>
        </w:rPr>
        <w:t>Shifra</w:t>
      </w:r>
      <w:r>
        <w:rPr>
          <w:rFonts w:cs="Palatino Linotype" w:ascii="Palatino Linotype" w:hAnsi="Palatino Linotype"/>
          <w:lang w:val="es-ES"/>
        </w:rPr>
        <w:t xml:space="preserve"> (Universidad de Jerusalén) “</w:t>
      </w:r>
      <w:r>
        <w:rPr>
          <w:rFonts w:cs="Palatino Linotype" w:ascii="Palatino Linotype" w:hAnsi="Palatino Linotype"/>
        </w:rPr>
        <w:t>Profano y sagrado en el narrativo pictó</w:t>
        <w:softHyphen/>
        <w:t>ri</w:t>
        <w:softHyphen/>
        <w:t>co de las sinagogas bizantinas”</w:t>
      </w:r>
    </w:p>
    <w:p>
      <w:pPr>
        <w:pStyle w:val="Cuerpodetexto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smallCaps/>
        </w:rPr>
        <w:t>15</w:t>
        <w:tab/>
      </w:r>
      <w:r>
        <w:rPr>
          <w:rFonts w:cs="Palatino Linotype" w:ascii="Palatino Linotype" w:hAnsi="Palatino Linotype"/>
          <w:b/>
          <w:smallCaps/>
        </w:rPr>
        <w:t xml:space="preserve">Van Pelt, </w:t>
      </w:r>
      <w:r>
        <w:rPr>
          <w:rFonts w:cs="Palatino Linotype" w:ascii="Palatino Linotype" w:hAnsi="Palatino Linotype"/>
          <w:b/>
        </w:rPr>
        <w:t>Julie</w:t>
      </w:r>
      <w:r>
        <w:rPr>
          <w:rFonts w:cs="Palatino Linotype" w:ascii="Palatino Linotype" w:hAnsi="Palatino Linotype"/>
        </w:rPr>
        <w:t xml:space="preserve"> (Ghent University, Bélgica) “</w:t>
      </w:r>
      <w:r>
        <w:rPr>
          <w:rFonts w:cs="Palatino Linotype" w:ascii="Palatino Linotype" w:hAnsi="Palatino Linotype"/>
          <w:lang w:val="en-GB"/>
        </w:rPr>
        <w:t>She or He? A narratological pers</w:t>
        <w:softHyphen/>
        <w:t xml:space="preserve">pective on pronoun-shifts in the </w:t>
      </w:r>
      <w:r>
        <w:rPr>
          <w:rFonts w:cs="Palatino Linotype" w:ascii="Palatino Linotype" w:hAnsi="Palatino Linotype"/>
          <w:i/>
          <w:lang w:val="en-GB"/>
        </w:rPr>
        <w:t xml:space="preserve">Life of Theodora </w:t>
      </w:r>
      <w:r>
        <w:rPr>
          <w:rFonts w:cs="Palatino Linotype" w:ascii="Palatino Linotype" w:hAnsi="Palatino Linotype"/>
          <w:lang w:val="en-GB"/>
        </w:rPr>
        <w:t>(BHG 1727)”</w:t>
      </w:r>
    </w:p>
    <w:p>
      <w:pPr>
        <w:pStyle w:val="Ttulo3"/>
        <w:numPr>
          <w:ilvl w:val="2"/>
          <w:numId w:val="1"/>
        </w:numPr>
        <w:spacing w:lineRule="auto" w:line="240" w:before="0" w:after="0"/>
        <w:ind w:left="720" w:hanging="720"/>
        <w:jc w:val="both"/>
        <w:rPr/>
      </w:pPr>
      <w:r>
        <w:rPr>
          <w:rFonts w:cs="Palatino Linotype" w:ascii="Palatino Linotype" w:hAnsi="Palatino Linotype"/>
          <w:b w:val="false"/>
          <w:smallCaps/>
          <w:sz w:val="22"/>
          <w:szCs w:val="22"/>
        </w:rPr>
        <w:t xml:space="preserve">15:30 </w:t>
        <w:tab/>
      </w:r>
      <w:r>
        <w:rPr>
          <w:rFonts w:cs="Palatino Linotype" w:ascii="Palatino Linotype" w:hAnsi="Palatino Linotype"/>
          <w:smallCaps/>
          <w:sz w:val="22"/>
          <w:szCs w:val="22"/>
        </w:rPr>
        <w:t xml:space="preserve">Kroell, </w:t>
      </w:r>
      <w:r>
        <w:rPr>
          <w:rFonts w:cs="Palatino Linotype" w:ascii="Palatino Linotype" w:hAnsi="Palatino Linotype"/>
          <w:sz w:val="22"/>
          <w:szCs w:val="22"/>
        </w:rPr>
        <w:t>Nicole</w:t>
      </w:r>
      <w:r>
        <w:rPr>
          <w:rFonts w:cs="Palatino Linotype" w:ascii="Palatino Linotype" w:hAnsi="Palatino Linotype"/>
          <w:smallCaps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 w:val="false"/>
          <w:smallCaps/>
          <w:sz w:val="22"/>
          <w:szCs w:val="22"/>
        </w:rPr>
        <w:t>(</w:t>
      </w:r>
      <w:r>
        <w:rPr>
          <w:rFonts w:cs="Palatino Linotype" w:ascii="Palatino Linotype" w:hAnsi="Palatino Linotype"/>
          <w:b w:val="false"/>
          <w:sz w:val="22"/>
          <w:szCs w:val="22"/>
        </w:rPr>
        <w:t>University of Vienna, Austria) “Constructing Order through Na</w:t>
        <w:softHyphen/>
        <w:t>rrat</w:t>
        <w:softHyphen/>
        <w:t xml:space="preserve">ion: Narrator and Narratees in George of Pisidia’s </w:t>
      </w:r>
      <w:r>
        <w:rPr>
          <w:rFonts w:cs="Palatino Linotype" w:ascii="Palatino Linotype" w:hAnsi="Palatino Linotype"/>
          <w:b w:val="false"/>
          <w:i/>
          <w:sz w:val="22"/>
          <w:szCs w:val="22"/>
        </w:rPr>
        <w:t>Bellum Avaricum</w:t>
      </w:r>
      <w:r>
        <w:rPr>
          <w:rFonts w:cs="Palatino Linotype" w:ascii="Palatino Linotype" w:hAnsi="Palatino Linotype"/>
          <w:b w:val="false"/>
          <w:sz w:val="22"/>
          <w:szCs w:val="22"/>
        </w:rPr>
        <w:t>”</w:t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cs="Palatino Linotype" w:ascii="Palatino Linotype" w:hAnsi="Palatino Linotype"/>
          <w:b w:val="false"/>
          <w:smallCaps/>
          <w:sz w:val="22"/>
          <w:szCs w:val="22"/>
        </w:rPr>
        <w:t>16</w:t>
      </w:r>
      <w:r>
        <w:rPr>
          <w:rFonts w:cs="Palatino Linotype" w:ascii="Palatino Linotype" w:hAnsi="Palatino Linotype"/>
          <w:smallCaps/>
          <w:sz w:val="22"/>
          <w:szCs w:val="22"/>
        </w:rPr>
        <w:t xml:space="preserve"> </w:t>
        <w:tab/>
        <w:t>Silventi</w:t>
      </w:r>
      <w:r>
        <w:rPr>
          <w:rFonts w:cs="Palatino Linotype" w:ascii="Palatino Linotype" w:hAnsi="Palatino Linotype"/>
          <w:sz w:val="22"/>
          <w:szCs w:val="22"/>
        </w:rPr>
        <w:t>, María Cristina</w:t>
      </w:r>
      <w:r>
        <w:rPr>
          <w:rFonts w:cs="Palatino Linotype" w:ascii="Palatino Linotype" w:hAnsi="Palatino Linotype"/>
          <w:b w:val="false"/>
          <w:sz w:val="22"/>
          <w:szCs w:val="22"/>
        </w:rPr>
        <w:t xml:space="preserve"> (Universidad Nacional de Cuyo) “La función de la ἔκ</w:t>
        <w:softHyphen/>
        <w:t>φρα</w:t>
        <w:softHyphen/>
        <w:t xml:space="preserve">σις en un fragmento de </w:t>
      </w:r>
      <w:r>
        <w:rPr>
          <w:rFonts w:cs="Palatino Linotype" w:ascii="Palatino Linotype" w:hAnsi="Palatino Linotype"/>
          <w:b w:val="false"/>
          <w:i/>
          <w:sz w:val="22"/>
          <w:szCs w:val="22"/>
        </w:rPr>
        <w:t>Expeditio Persica</w:t>
      </w:r>
      <w:r>
        <w:rPr>
          <w:rFonts w:cs="Palatino Linotype" w:ascii="Palatino Linotype" w:hAnsi="Palatino Linotype"/>
          <w:b w:val="false"/>
          <w:sz w:val="22"/>
          <w:szCs w:val="22"/>
        </w:rPr>
        <w:t xml:space="preserve"> de Jorge de Pisidia”</w:t>
      </w:r>
    </w:p>
    <w:p>
      <w:pPr>
        <w:pStyle w:val="Predeterminado"/>
        <w:spacing w:lineRule="auto" w:line="240" w:before="0" w:after="0"/>
        <w:ind w:left="720" w:right="-316" w:hanging="720"/>
        <w:rPr>
          <w:rFonts w:ascii="Palatino Linotype" w:hAnsi="Palatino Linotype" w:cs="Palatino Linotype"/>
          <w:smallCaps/>
          <w:sz w:val="22"/>
          <w:szCs w:val="22"/>
          <w:lang w:val="es-ES"/>
        </w:rPr>
      </w:pPr>
      <w:r>
        <w:rPr>
          <w:rFonts w:cs="Palatino Linotype"/>
          <w:smallCaps/>
          <w:sz w:val="22"/>
          <w:szCs w:val="22"/>
          <w:lang w:val="es-ES"/>
        </w:rPr>
      </w:r>
    </w:p>
    <w:p>
      <w:pPr>
        <w:pStyle w:val="Predeterminado"/>
        <w:spacing w:lineRule="auto" w:line="240" w:before="0" w:after="0"/>
        <w:ind w:left="720" w:right="-316" w:hanging="720"/>
        <w:rPr>
          <w:rFonts w:cs="Times New Roman"/>
          <w:sz w:val="22"/>
          <w:szCs w:val="22"/>
          <w:lang w:val="es-ES"/>
        </w:rPr>
      </w:pPr>
      <w:r>
        <w:rPr>
          <w:smallCaps/>
          <w:sz w:val="22"/>
          <w:szCs w:val="22"/>
          <w:lang w:val="es-ES"/>
        </w:rPr>
        <w:t>16:30</w:t>
        <w:tab/>
      </w:r>
      <w:r>
        <w:rPr>
          <w:smallCaps/>
          <w:sz w:val="22"/>
          <w:szCs w:val="22"/>
        </w:rPr>
        <w:t>INTERVALO</w:t>
      </w:r>
    </w:p>
    <w:p>
      <w:pPr>
        <w:pStyle w:val="Predeterminado"/>
        <w:spacing w:lineRule="auto" w:line="240" w:before="0" w:after="0"/>
        <w:ind w:left="720" w:right="-316" w:hanging="720"/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</w:r>
    </w:p>
    <w:p>
      <w:pPr>
        <w:pStyle w:val="Ttulo1"/>
        <w:numPr>
          <w:ilvl w:val="0"/>
          <w:numId w:val="1"/>
        </w:numPr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sz w:val="22"/>
          <w:szCs w:val="22"/>
          <w:lang w:val="es-ES"/>
        </w:rPr>
      </w:pPr>
      <w:r>
        <w:rPr>
          <w:rFonts w:cs="Palatino Linotype" w:ascii="Palatino Linotype" w:hAnsi="Palatino Linotype"/>
          <w:b w:val="false"/>
          <w:smallCaps/>
          <w:sz w:val="22"/>
          <w:szCs w:val="22"/>
          <w:lang w:val="es-ES"/>
        </w:rPr>
        <w:t>17</w:t>
      </w:r>
      <w:r>
        <w:rPr>
          <w:rFonts w:cs="Palatino Linotype" w:ascii="Palatino Linotype" w:hAnsi="Palatino Linotype"/>
          <w:smallCaps/>
          <w:sz w:val="22"/>
          <w:szCs w:val="22"/>
          <w:lang w:val="es-ES"/>
        </w:rPr>
        <w:t xml:space="preserve"> </w:t>
        <w:tab/>
      </w:r>
      <w:r>
        <w:rPr>
          <w:rFonts w:cs="Palatino Linotype" w:ascii="Palatino Linotype" w:hAnsi="Palatino Linotype"/>
          <w:smallCaps/>
          <w:sz w:val="22"/>
          <w:szCs w:val="22"/>
        </w:rPr>
        <w:t>Cavallero</w:t>
      </w:r>
      <w:r>
        <w:rPr>
          <w:rFonts w:cs="Palatino Linotype" w:ascii="Palatino Linotype" w:hAnsi="Palatino Linotype"/>
          <w:sz w:val="22"/>
          <w:szCs w:val="22"/>
        </w:rPr>
        <w:t>, Pablo</w:t>
      </w:r>
      <w:r>
        <w:rPr>
          <w:rFonts w:cs="Palatino Linotype" w:ascii="Palatino Linotype" w:hAnsi="Palatino Linotype"/>
          <w:b w:val="false"/>
          <w:sz w:val="22"/>
          <w:szCs w:val="22"/>
        </w:rPr>
        <w:t xml:space="preserve"> (UBA-UCA-CONICET) “</w:t>
      </w:r>
      <w:r>
        <w:rPr>
          <w:rFonts w:cs="Palatino Linotype" w:ascii="Palatino Linotype" w:hAnsi="Palatino Linotype"/>
          <w:b w:val="false"/>
          <w:sz w:val="22"/>
          <w:szCs w:val="22"/>
          <w:lang w:val="es-ES"/>
        </w:rPr>
        <w:t xml:space="preserve">Rasgos narrativos de </w:t>
      </w:r>
      <w:r>
        <w:rPr>
          <w:rFonts w:cs="Palatino Linotype" w:ascii="Palatino Linotype" w:hAnsi="Palatino Linotype"/>
          <w:b w:val="false"/>
          <w:i/>
          <w:sz w:val="22"/>
          <w:szCs w:val="22"/>
          <w:lang w:val="es-ES"/>
        </w:rPr>
        <w:t>Andronico y Atana</w:t>
        <w:softHyphen/>
        <w:t>sia</w:t>
      </w:r>
      <w:r>
        <w:rPr>
          <w:rFonts w:cs="Palatino Linotype" w:ascii="Palatino Linotype" w:hAnsi="Palatino Linotype"/>
          <w:b w:val="false"/>
          <w:sz w:val="22"/>
          <w:szCs w:val="22"/>
          <w:lang w:val="es-ES"/>
        </w:rPr>
        <w:t xml:space="preserve"> (</w:t>
      </w:r>
      <w:r>
        <w:rPr>
          <w:rFonts w:cs="Palatino Linotype" w:ascii="Palatino Linotype" w:hAnsi="Palatino Linotype"/>
          <w:b w:val="false"/>
          <w:i/>
          <w:sz w:val="22"/>
          <w:szCs w:val="22"/>
          <w:lang w:val="es-ES"/>
        </w:rPr>
        <w:t>BHG</w:t>
      </w:r>
      <w:r>
        <w:rPr>
          <w:rFonts w:cs="Palatino Linotype" w:ascii="Palatino Linotype" w:hAnsi="Palatino Linotype"/>
          <w:b w:val="false"/>
          <w:sz w:val="22"/>
          <w:szCs w:val="22"/>
          <w:lang w:val="es-ES"/>
        </w:rPr>
        <w:t xml:space="preserve"> 123 j)”</w:t>
      </w:r>
    </w:p>
    <w:p>
      <w:pPr>
        <w:pStyle w:val="Normal"/>
        <w:spacing w:lineRule="auto" w:line="240" w:before="0" w:after="0"/>
        <w:ind w:left="720" w:right="44" w:hanging="720"/>
        <w:jc w:val="both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smallCaps/>
        </w:rPr>
        <w:t xml:space="preserve">17:30 </w:t>
        <w:tab/>
      </w:r>
      <w:r>
        <w:rPr>
          <w:rFonts w:cs="Palatino Linotype" w:ascii="Palatino Linotype" w:hAnsi="Palatino Linotype"/>
          <w:b/>
          <w:smallCaps/>
        </w:rPr>
        <w:t>Ferrer</w:t>
      </w:r>
      <w:r>
        <w:rPr>
          <w:rFonts w:cs="Palatino Linotype" w:ascii="Palatino Linotype" w:hAnsi="Palatino Linotype"/>
        </w:rPr>
        <w:t xml:space="preserve">, </w:t>
      </w:r>
      <w:r>
        <w:rPr>
          <w:rFonts w:cs="Palatino Linotype" w:ascii="Palatino Linotype" w:hAnsi="Palatino Linotype"/>
          <w:b/>
        </w:rPr>
        <w:t>Elisa</w:t>
      </w:r>
      <w:r>
        <w:rPr>
          <w:rFonts w:cs="Palatino Linotype" w:ascii="Palatino Linotype" w:hAnsi="Palatino Linotype"/>
        </w:rPr>
        <w:t xml:space="preserve"> (Universidad Nacional de Córdoba) “</w:t>
      </w:r>
      <w:r>
        <w:rPr>
          <w:rFonts w:cs="Palatino Linotype" w:ascii="Palatino Linotype" w:hAnsi="Palatino Linotype"/>
          <w:shd w:fill="FFFFFF" w:val="clear"/>
        </w:rPr>
        <w:t>Pena y alegría en la Homi</w:t>
        <w:softHyphen/>
        <w:t>lía VIII de Germán de Constantinopla”</w:t>
      </w:r>
    </w:p>
    <w:p>
      <w:pPr>
        <w:pStyle w:val="Normal"/>
        <w:spacing w:lineRule="auto" w:line="240" w:before="0" w:after="0"/>
        <w:ind w:left="720" w:right="44" w:hanging="720"/>
        <w:jc w:val="both"/>
        <w:rPr/>
      </w:pPr>
      <w:r>
        <w:rPr>
          <w:rFonts w:cs="Palatino Linotype" w:ascii="Palatino Linotype" w:hAnsi="Palatino Linotype"/>
          <w:smallCaps/>
        </w:rPr>
        <w:t>18</w:t>
      </w:r>
      <w:r>
        <w:rPr>
          <w:rFonts w:cs="Palatino Linotype" w:ascii="Palatino Linotype" w:hAnsi="Palatino Linotype"/>
          <w:b/>
          <w:smallCaps/>
        </w:rPr>
        <w:tab/>
        <w:t xml:space="preserve">Simonassi Lyon, </w:t>
      </w:r>
      <w:r>
        <w:rPr>
          <w:rFonts w:cs="Palatino Linotype" w:ascii="Palatino Linotype" w:hAnsi="Palatino Linotype"/>
          <w:b/>
        </w:rPr>
        <w:t>Andrea</w:t>
      </w:r>
      <w:r>
        <w:rPr>
          <w:rFonts w:cs="Palatino Linotype" w:ascii="Palatino Linotype" w:hAnsi="Palatino Linotype"/>
          <w:b/>
          <w:smallCaps/>
        </w:rPr>
        <w:t xml:space="preserve"> </w:t>
      </w:r>
      <w:r>
        <w:rPr>
          <w:rFonts w:cs="Palatino Linotype" w:ascii="Palatino Linotype" w:hAnsi="Palatino Linotype"/>
        </w:rPr>
        <w:t>(UBA/IMHICIHU-CONICET) “La construcción de la ima</w:t>
        <w:softHyphen/>
        <w:t xml:space="preserve">gen de la Sinagoga en la serie </w:t>
      </w:r>
      <w:r>
        <w:rPr>
          <w:rFonts w:cs="Palatino Linotype" w:ascii="Palatino Linotype" w:hAnsi="Palatino Linotype"/>
          <w:i/>
        </w:rPr>
        <w:t>Adversus Iudaeos</w:t>
      </w:r>
      <w:r>
        <w:rPr>
          <w:rFonts w:cs="Palatino Linotype" w:ascii="Palatino Linotype" w:hAnsi="Palatino Linotype"/>
        </w:rPr>
        <w:t xml:space="preserve"> de Juan Crisóstomo”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smallCaps/>
          <w:lang w:val="es-ES"/>
        </w:rPr>
        <w:t>18:30</w:t>
        <w:tab/>
      </w:r>
      <w:r>
        <w:rPr>
          <w:rFonts w:cs="Palatino Linotype" w:ascii="Palatino Linotype" w:hAnsi="Palatino Linotype"/>
          <w:b/>
          <w:smallCaps/>
        </w:rPr>
        <w:t>Frenkel</w:t>
      </w:r>
      <w:r>
        <w:rPr>
          <w:rFonts w:cs="Palatino Linotype" w:ascii="Palatino Linotype" w:hAnsi="Palatino Linotype"/>
        </w:rPr>
        <w:t xml:space="preserve"> Diana (UBA-UCA) “El fuego sagrado (</w:t>
      </w:r>
      <w:r>
        <w:rPr>
          <w:rFonts w:cs="Palatino Linotype" w:ascii="Palatino Linotype" w:hAnsi="Palatino Linotype"/>
          <w:i/>
        </w:rPr>
        <w:t>II Macc</w:t>
      </w:r>
      <w:r>
        <w:rPr>
          <w:rFonts w:cs="Palatino Linotype" w:ascii="Palatino Linotype" w:hAnsi="Palatino Linotype"/>
        </w:rPr>
        <w:t xml:space="preserve">. 1.18-2.12) en el </w:t>
      </w:r>
      <w:r>
        <w:rPr>
          <w:rFonts w:cs="Palatino Linotype" w:ascii="Palatino Linotype" w:hAnsi="Palatino Linotype"/>
          <w:i/>
        </w:rPr>
        <w:t>Libro de Yo</w:t>
        <w:softHyphen/>
        <w:t>sip</w:t>
        <w:softHyphen/>
        <w:t>pon</w:t>
      </w:r>
      <w:r>
        <w:rPr>
          <w:rFonts w:cs="Palatino Linotype" w:ascii="Palatino Linotype" w:hAnsi="Palatino Linotype"/>
        </w:rPr>
        <w:t>”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</w:rPr>
        <w:t>19</w:t>
        <w:tab/>
      </w:r>
      <w:r>
        <w:rPr>
          <w:rFonts w:cs="Palatino Linotype" w:ascii="Palatino Linotype" w:hAnsi="Palatino Linotype"/>
          <w:b/>
          <w:smallCaps/>
        </w:rPr>
        <w:t>Fuentes</w:t>
      </w:r>
      <w:r>
        <w:rPr>
          <w:rFonts w:cs="Palatino Linotype" w:ascii="Palatino Linotype" w:hAnsi="Palatino Linotype"/>
        </w:rPr>
        <w:t xml:space="preserve">, Pablo (UBA) “Una versión incierta de la </w:t>
      </w:r>
      <w:r>
        <w:rPr>
          <w:rFonts w:cs="Palatino Linotype" w:ascii="Palatino Linotype" w:hAnsi="Palatino Linotype"/>
          <w:i/>
          <w:iCs/>
        </w:rPr>
        <w:t>Vida de Juan el Limosnero</w:t>
      </w:r>
      <w:r>
        <w:rPr>
          <w:rFonts w:cs="Palatino Linotype" w:ascii="Palatino Linotype" w:hAnsi="Palatino Linotype"/>
        </w:rPr>
        <w:t xml:space="preserve"> de Le</w:t>
        <w:softHyphen/>
        <w:t>on</w:t>
        <w:softHyphen/>
        <w:t>cio de Neápolis”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b/>
          <w:b/>
        </w:rPr>
      </w:pPr>
      <w:r>
        <w:rPr>
          <w:rFonts w:cs="Palatino Linotype" w:ascii="Palatino Linotype" w:hAnsi="Palatino Linotype"/>
          <w:b/>
        </w:rPr>
      </w:r>
    </w:p>
    <w:p>
      <w:pPr>
        <w:pStyle w:val="Predeterminado"/>
        <w:spacing w:lineRule="auto" w:line="240" w:before="0" w:after="0"/>
        <w:ind w:left="720" w:right="-316" w:hanging="720"/>
        <w:rPr/>
      </w:pPr>
      <w:r>
        <w:rPr>
          <w:b/>
          <w:sz w:val="28"/>
          <w:szCs w:val="28"/>
          <w:u w:val="single"/>
        </w:rPr>
        <w:t>Viernes 30 de agosto</w:t>
      </w:r>
    </w:p>
    <w:p>
      <w:pPr>
        <w:pStyle w:val="Predeterminado"/>
        <w:spacing w:lineRule="auto" w:line="240" w:before="0" w:after="0"/>
        <w:ind w:left="720" w:right="-316" w:hanging="72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Sala del Consejo Directivo, 2º piso</w:t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  <w:b/>
          <w:b/>
          <w:smallCaps/>
          <w:sz w:val="22"/>
          <w:szCs w:val="22"/>
        </w:rPr>
      </w:pPr>
      <w:r>
        <w:rPr>
          <w:rFonts w:cs="Palatino Linotype" w:ascii="Palatino Linotype" w:hAnsi="Palatino Linotype"/>
          <w:b/>
          <w:smallCaps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b/>
          <w:b/>
          <w:color w:val="000000"/>
        </w:rPr>
      </w:pPr>
      <w:r>
        <w:rPr>
          <w:rFonts w:cs="Palatino Linotype" w:ascii="Palatino Linotype" w:hAnsi="Palatino Linotype"/>
          <w:b/>
          <w:smallCaps/>
          <w:color w:val="000000"/>
        </w:rPr>
        <w:t>Casamiquela Gerhold</w:t>
      </w:r>
      <w:r>
        <w:rPr>
          <w:rFonts w:cs="Palatino Linotype" w:ascii="Palatino Linotype" w:hAnsi="Palatino Linotype"/>
          <w:b/>
          <w:color w:val="000000"/>
        </w:rPr>
        <w:t xml:space="preserve">, Victoria </w:t>
      </w:r>
      <w:r>
        <w:rPr>
          <w:rFonts w:cs="Palatino Linotype" w:ascii="Palatino Linotype" w:hAnsi="Palatino Linotype"/>
          <w:color w:val="000000"/>
          <w:lang w:val="es-ES"/>
        </w:rPr>
        <w:t>(</w:t>
      </w:r>
      <w:r>
        <w:rPr>
          <w:rFonts w:cs="Palatino Linotype" w:ascii="Palatino Linotype" w:hAnsi="Palatino Linotype"/>
          <w:color w:val="000000"/>
        </w:rPr>
        <w:t>CONICET) “El emperador cristiano y la ciu</w:t>
        <w:softHyphen/>
        <w:softHyphen/>
        <w:t>dad pagana: la relación entre Constantino I y Bizancio en las tradiciones le</w:t>
        <w:softHyphen/>
        <w:t>gen</w:t>
        <w:softHyphen/>
        <w:softHyphen/>
        <w:t>da</w:t>
        <w:softHyphen/>
        <w:t>rias bi</w:t>
        <w:softHyphen/>
        <w:t>zan</w:t>
        <w:softHyphen/>
        <w:t>tinas”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mallCaps/>
          <w:lang w:val="es-ES"/>
        </w:rPr>
        <w:t>9:30</w:t>
      </w:r>
      <w:r>
        <w:rPr>
          <w:rFonts w:cs="Palatino Linotype" w:ascii="Palatino Linotype" w:hAnsi="Palatino Linotype"/>
          <w:b/>
          <w:smallCaps/>
          <w:lang w:val="es-ES"/>
        </w:rPr>
        <w:tab/>
        <w:t>Høgel</w:t>
      </w:r>
      <w:r>
        <w:rPr>
          <w:rFonts w:cs="Palatino Linotype" w:ascii="Palatino Linotype" w:hAnsi="Palatino Linotype"/>
          <w:b/>
          <w:lang w:val="es-ES"/>
        </w:rPr>
        <w:t xml:space="preserve">, Christian </w:t>
      </w:r>
      <w:r>
        <w:rPr>
          <w:rFonts w:cs="Palatino Linotype" w:ascii="Palatino Linotype" w:hAnsi="Palatino Linotype"/>
        </w:rPr>
        <w:t>(University of Southern Denmark) “</w:t>
      </w:r>
      <w:r>
        <w:rPr>
          <w:rFonts w:cs="Palatino Linotype" w:ascii="Palatino Linotype" w:hAnsi="Palatino Linotype"/>
          <w:lang w:val="es-ES"/>
        </w:rPr>
        <w:t>¿Cómo traducir un cuen</w:t>
        <w:softHyphen/>
        <w:t>to bu</w:t>
        <w:softHyphen/>
        <w:t>dista en hagiografía bizantina?”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right="44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mallCaps/>
        </w:rPr>
        <w:t>10</w:t>
        <w:tab/>
      </w:r>
      <w:r>
        <w:rPr>
          <w:rFonts w:cs="Palatino Linotype" w:ascii="Palatino Linotype" w:hAnsi="Palatino Linotype"/>
          <w:b/>
          <w:smallCaps/>
        </w:rPr>
        <w:t>Fernández</w:t>
      </w:r>
      <w:r>
        <w:rPr>
          <w:rFonts w:cs="Palatino Linotype" w:ascii="Palatino Linotype" w:hAnsi="Palatino Linotype"/>
          <w:b/>
        </w:rPr>
        <w:t xml:space="preserve">, Tomás / </w:t>
      </w:r>
      <w:r>
        <w:rPr>
          <w:rFonts w:cs="Palatino Linotype" w:ascii="Palatino Linotype" w:hAnsi="Palatino Linotype"/>
          <w:b/>
          <w:smallCaps/>
        </w:rPr>
        <w:t>Cortez</w:t>
      </w:r>
      <w:r>
        <w:rPr>
          <w:rFonts w:cs="Palatino Linotype" w:ascii="Palatino Linotype" w:hAnsi="Palatino Linotype"/>
          <w:b/>
        </w:rPr>
        <w:t>, Paloma</w:t>
      </w:r>
      <w:r>
        <w:rPr>
          <w:rFonts w:cs="Palatino Linotype" w:ascii="Palatino Linotype" w:hAnsi="Palatino Linotype"/>
        </w:rPr>
        <w:t xml:space="preserve"> (UBA – CONICET) “Niketas Euge</w:t>
        <w:softHyphen/>
        <w:t>nia</w:t>
        <w:softHyphen/>
        <w:t>nos y la espacialidad de la novela bizantina”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right="44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10:30</w:t>
        <w:tab/>
      </w:r>
      <w:r>
        <w:rPr>
          <w:rFonts w:cs="Palatino Linotype" w:ascii="Palatino Linotype" w:hAnsi="Palatino Linotype"/>
          <w:b/>
          <w:smallCaps/>
        </w:rPr>
        <w:t>Fernández</w:t>
      </w:r>
      <w:r>
        <w:rPr>
          <w:rFonts w:cs="Palatino Linotype" w:ascii="Palatino Linotype" w:hAnsi="Palatino Linotype"/>
        </w:rPr>
        <w:t>, Tomás (UBA – CONICET) “La construcción de la novela bizan</w:t>
        <w:softHyphen/>
        <w:t>ti</w:t>
        <w:softHyphen/>
        <w:t>na: el ca</w:t>
        <w:softHyphen/>
        <w:t>so de Makrembolites y Eugenianos”</w:t>
      </w:r>
    </w:p>
    <w:p>
      <w:pPr>
        <w:pStyle w:val="Normal"/>
        <w:tabs>
          <w:tab w:val="left" w:pos="720" w:leader="none"/>
        </w:tabs>
        <w:spacing w:lineRule="auto" w:line="240" w:before="0" w:after="0"/>
        <w:ind w:left="720" w:right="44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mallCaps/>
        </w:rPr>
        <w:t xml:space="preserve">11 </w:t>
        <w:tab/>
      </w:r>
      <w:bookmarkStart w:id="0" w:name="_GoBack"/>
      <w:bookmarkEnd w:id="0"/>
      <w:r>
        <w:rPr>
          <w:rFonts w:cs="Palatino Linotype" w:ascii="Palatino Linotype" w:hAnsi="Palatino Linotype"/>
          <w:b/>
          <w:smallCaps/>
        </w:rPr>
        <w:t>Rivas</w:t>
      </w:r>
      <w:r>
        <w:rPr>
          <w:rFonts w:cs="Palatino Linotype" w:ascii="Palatino Linotype" w:hAnsi="Palatino Linotype"/>
        </w:rPr>
        <w:t xml:space="preserve">, Ezequiel Gustavo (UBA / Université de Genève) “Narrar </w:t>
      </w:r>
      <w:r>
        <w:rPr>
          <w:rFonts w:cs="Palatino Linotype" w:ascii="Palatino Linotype" w:hAnsi="Palatino Linotype"/>
          <w:i/>
        </w:rPr>
        <w:t>y</w:t>
      </w:r>
      <w:r>
        <w:rPr>
          <w:rFonts w:cs="Palatino Linotype" w:ascii="Palatino Linotype" w:hAnsi="Palatino Linotype"/>
        </w:rPr>
        <w:t xml:space="preserve"> describir: </w:t>
      </w:r>
      <w:r>
        <w:rPr>
          <w:rFonts w:cs="Palatino Linotype" w:ascii="Palatino Linotype" w:hAnsi="Palatino Linotype"/>
          <w:i/>
        </w:rPr>
        <w:t>ék</w:t>
        <w:softHyphen/>
        <w:t>phrasis</w:t>
      </w:r>
      <w:r>
        <w:rPr>
          <w:rFonts w:cs="Palatino Linotype" w:ascii="Palatino Linotype" w:hAnsi="Palatino Linotype"/>
        </w:rPr>
        <w:t xml:space="preserve">, relato e imagen en el centón </w:t>
      </w:r>
      <w:r>
        <w:rPr>
          <w:rFonts w:cs="Palatino Linotype" w:ascii="Palatino Linotype" w:hAnsi="Palatino Linotype"/>
          <w:i/>
        </w:rPr>
        <w:t>Christus Patiens</w:t>
      </w:r>
      <w:r>
        <w:rPr>
          <w:rFonts w:cs="Palatino Linotype" w:ascii="Palatino Linotype" w:hAnsi="Palatino Linotype"/>
        </w:rPr>
        <w:t>”</w:t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11:30</w:t>
        <w:tab/>
      </w:r>
      <w:r>
        <w:rPr>
          <w:rFonts w:cs="Palatino Linotype" w:ascii="Palatino Linotype" w:hAnsi="Palatino Linotype"/>
          <w:b/>
          <w:smallCaps/>
        </w:rPr>
        <w:t>Bértola</w:t>
      </w:r>
      <w:r>
        <w:rPr>
          <w:rFonts w:cs="Palatino Linotype" w:ascii="Palatino Linotype" w:hAnsi="Palatino Linotype"/>
          <w:smallCaps/>
        </w:rPr>
        <w:t xml:space="preserve">, </w:t>
      </w:r>
      <w:r>
        <w:rPr>
          <w:rFonts w:cs="Palatino Linotype" w:ascii="Palatino Linotype" w:hAnsi="Palatino Linotype"/>
        </w:rPr>
        <w:t>Julián (Ghent University) “Lecturas bizantinas de historia y de histo</w:t>
        <w:softHyphen/>
        <w:t>rias: notas narratológicas a escolios en verso”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bCs/>
        </w:rPr>
      </w:pPr>
      <w:r>
        <w:rPr>
          <w:rFonts w:cs="Palatino Linotype" w:ascii="Palatino Linotype" w:hAnsi="Palatino Linotype"/>
          <w:b/>
          <w:bCs/>
          <w:smallCaps/>
        </w:rPr>
        <w:t>Sapovici</w:t>
      </w:r>
      <w:r>
        <w:rPr>
          <w:rFonts w:cs="Palatino Linotype" w:ascii="Palatino Linotype" w:hAnsi="Palatino Linotype"/>
          <w:b/>
          <w:bCs/>
        </w:rPr>
        <w:t xml:space="preserve">, Anca Mihaela </w:t>
      </w:r>
      <w:r>
        <w:rPr>
          <w:rFonts w:cs="Palatino Linotype" w:ascii="Palatino Linotype" w:hAnsi="Palatino Linotype"/>
          <w:bCs/>
        </w:rPr>
        <w:t>(</w:t>
      </w:r>
      <w:r>
        <w:rPr>
          <w:rFonts w:cs="Palatino Linotype" w:ascii="Palatino Linotype" w:hAnsi="Palatino Linotype"/>
          <w:lang w:val="fr-FR"/>
        </w:rPr>
        <w:t xml:space="preserve">Institutul de Lingvistică </w:t>
      </w:r>
      <w:r>
        <w:rPr>
          <w:rFonts w:cs="Palatino Linotype" w:ascii="Palatino Linotype" w:hAnsi="Palatino Linotype"/>
        </w:rPr>
        <w:t>“</w:t>
      </w:r>
      <w:r>
        <w:rPr>
          <w:rFonts w:cs="Palatino Linotype" w:ascii="Palatino Linotype" w:hAnsi="Palatino Linotype"/>
          <w:lang w:val="fr-FR"/>
        </w:rPr>
        <w:t xml:space="preserve">Iorgu Iordan – Al. </w:t>
      </w:r>
      <w:r>
        <w:rPr>
          <w:rFonts w:cs="Palatino Linotype" w:ascii="Palatino Linotype" w:hAnsi="Palatino Linotype"/>
        </w:rPr>
        <w:t>Rosetti” al A</w:t>
        <w:softHyphen/>
        <w:t>ca</w:t>
        <w:softHyphen/>
        <w:t>de</w:t>
        <w:softHyphen/>
        <w:t>miei Române) “</w:t>
      </w:r>
      <w:r>
        <w:rPr>
          <w:rFonts w:cs="Palatino Linotype" w:ascii="Palatino Linotype" w:hAnsi="Palatino Linotype"/>
          <w:bCs/>
        </w:rPr>
        <w:t>Narrative strategies in an early post-byzantine mirror for prin</w:t>
        <w:softHyphen/>
        <w:t>ces”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40" w:before="0" w:after="0"/>
        <w:ind w:left="720" w:hanging="720"/>
        <w:jc w:val="both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b/>
        </w:rPr>
        <w:t xml:space="preserve">12:30 </w:t>
        <w:tab/>
        <w:t xml:space="preserve">Conferencia de cierre: Dr. </w:t>
      </w:r>
      <w:r>
        <w:rPr>
          <w:rFonts w:cs="Palatino Linotype" w:ascii="Palatino Linotype" w:hAnsi="Palatino Linotype"/>
          <w:b/>
          <w:smallCaps/>
        </w:rPr>
        <w:t xml:space="preserve">Pablo Ubierna </w:t>
      </w:r>
      <w:r>
        <w:rPr>
          <w:rFonts w:cs="Palatino Linotype" w:ascii="Palatino Linotype" w:hAnsi="Palatino Linotype"/>
          <w:smallCaps/>
        </w:rPr>
        <w:t>(UBA-CONICET)</w:t>
      </w:r>
      <w:r>
        <w:rPr>
          <w:b/>
          <w:bCs/>
          <w:color w:val="000000"/>
          <w:shd w:fill="FFFFFF" w:val="clear"/>
        </w:rPr>
        <w:t xml:space="preserve"> </w:t>
      </w:r>
      <w:r>
        <w:rPr>
          <w:rFonts w:cs="Palatino Linotype" w:ascii="Palatino Linotype" w:hAnsi="Palatino Linotype"/>
          <w:bCs/>
          <w:shd w:fill="FFFFFF" w:val="clear"/>
        </w:rPr>
        <w:t>“La literatura apocalíp</w:t>
        <w:softHyphen/>
        <w:t>tica bizantina: entre</w:t>
      </w:r>
      <w:r>
        <w:rPr>
          <w:rStyle w:val="Appleconvertedspace"/>
          <w:rFonts w:cs="Palatino Linotype" w:ascii="Palatino Linotype" w:hAnsi="Palatino Linotype"/>
          <w:bCs/>
          <w:shd w:fill="FFFFFF" w:val="clear"/>
        </w:rPr>
        <w:t> </w:t>
      </w:r>
      <w:r>
        <w:rPr>
          <w:rFonts w:cs="Palatino Linotype" w:ascii="Palatino Linotype" w:hAnsi="Palatino Linotype"/>
          <w:bCs/>
          <w:i/>
          <w:iCs/>
          <w:shd w:fill="FFFFFF" w:val="clear"/>
        </w:rPr>
        <w:t>diēgēsis</w:t>
      </w:r>
      <w:r>
        <w:rPr>
          <w:rStyle w:val="Appleconvertedspace"/>
          <w:rFonts w:cs="Palatino Linotype" w:ascii="Palatino Linotype" w:hAnsi="Palatino Linotype"/>
          <w:bCs/>
          <w:i/>
          <w:iCs/>
          <w:shd w:fill="FFFFFF" w:val="clear"/>
        </w:rPr>
        <w:t> </w:t>
      </w:r>
      <w:r>
        <w:rPr>
          <w:rFonts w:cs="Palatino Linotype" w:ascii="Palatino Linotype" w:hAnsi="Palatino Linotype"/>
          <w:bCs/>
          <w:shd w:fill="FFFFFF" w:val="clear"/>
        </w:rPr>
        <w:t>y</w:t>
      </w:r>
      <w:r>
        <w:rPr>
          <w:rStyle w:val="Appleconvertedspace"/>
          <w:rFonts w:cs="Palatino Linotype" w:ascii="Palatino Linotype" w:hAnsi="Palatino Linotype"/>
          <w:bCs/>
          <w:shd w:fill="FFFFFF" w:val="clear"/>
        </w:rPr>
        <w:t> </w:t>
      </w:r>
      <w:r>
        <w:rPr>
          <w:rFonts w:cs="Palatino Linotype" w:ascii="Palatino Linotype" w:hAnsi="Palatino Linotype"/>
          <w:bCs/>
          <w:i/>
          <w:iCs/>
          <w:shd w:fill="FFFFFF" w:val="clear"/>
        </w:rPr>
        <w:t>mimēsis</w:t>
      </w:r>
      <w:r>
        <w:rPr>
          <w:rFonts w:cs="Palatino Linotype" w:ascii="Palatino Linotype" w:hAnsi="Palatino Linotype"/>
          <w:bCs/>
          <w:iCs/>
          <w:shd w:fill="FFFFFF" w:val="clear"/>
        </w:rPr>
        <w:t>”</w:t>
      </w:r>
    </w:p>
    <w:p>
      <w:pPr>
        <w:pStyle w:val="Normal"/>
        <w:spacing w:lineRule="auto" w:line="240" w:before="0" w:after="0"/>
        <w:ind w:left="720" w:right="-316" w:hanging="720"/>
        <w:rPr>
          <w:rFonts w:ascii="Palatino Linotype" w:hAnsi="Palatino Linotype" w:cs="Palatino Linotype"/>
          <w:smallCaps/>
        </w:rPr>
      </w:pPr>
      <w:r>
        <w:rPr>
          <w:rFonts w:cs="Palatino Linotype" w:ascii="Palatino Linotype" w:hAnsi="Palatino Linotype"/>
          <w:smallCaps/>
        </w:rPr>
      </w:r>
    </w:p>
    <w:p>
      <w:pPr>
        <w:pStyle w:val="Normal"/>
        <w:spacing w:lineRule="auto" w:line="240" w:before="0" w:after="0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</w:rPr>
        <w:t>Palabras de clausura. Anuncio del próximo IV Coloquio Bizantino de la UBA.</w:t>
      </w:r>
    </w:p>
    <w:sectPr>
      <w:type w:val="nextPage"/>
      <w:pgSz w:w="11906" w:h="16838"/>
      <w:pgMar w:left="1418" w:right="1418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Palatino Linotype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2"/>
      <w:numFmt w:val="decimal"/>
      <w:lvlText w:val="%1"/>
      <w:lvlJc w:val="left"/>
      <w:pPr>
        <w:tabs>
          <w:tab w:val="num" w:pos="708"/>
        </w:tabs>
        <w:ind w:left="720" w:hanging="360"/>
      </w:pPr>
      <w:rPr/>
    </w:lvl>
  </w:abstractNum>
  <w:abstractNum w:abstractNumId="3">
    <w:lvl w:ilvl="0">
      <w:start w:val="9"/>
      <w:numFmt w:val="decimal"/>
      <w:lvlText w:val="%1"/>
      <w:lvlJc w:val="left"/>
      <w:pPr>
        <w:tabs>
          <w:tab w:val="num" w:pos="1050"/>
        </w:tabs>
        <w:ind w:left="1050" w:hanging="690"/>
      </w:pPr>
      <w:rPr>
        <w:sz w:val="22"/>
        <w:b w:val="false"/>
        <w:szCs w:val="22"/>
        <w:rFonts w:ascii="Palatino Linotype" w:hAnsi="Palatino Linotype" w:cs="Palatino Linotype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Arial"/>
      <w:color w:val="auto"/>
      <w:sz w:val="22"/>
      <w:szCs w:val="22"/>
      <w:lang w:val="en-US" w:bidi="he-IL" w:eastAsia="zh-C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Palatino Linotype" w:hAnsi="Palatino Linotype" w:cs="Palatino Linotype"/>
      <w:b w:val="false"/>
      <w:color w:val="000000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FooterChar">
    <w:name w:val="Footer Char"/>
    <w:basedOn w:val="Fuentedeprrafopredeter"/>
    <w:qFormat/>
    <w:rPr>
      <w:rFonts w:ascii="Calibri" w:hAnsi="Calibri" w:cs="Arial"/>
      <w:sz w:val="22"/>
      <w:szCs w:val="22"/>
      <w:lang w:val="en-US" w:bidi="he-IL"/>
    </w:rPr>
  </w:style>
  <w:style w:type="character" w:styleId="Appleconvertedspace">
    <w:name w:val="apple-converted-space"/>
    <w:basedOn w:val="Fuentedeprrafopredeter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Predeterminado">
    <w:name w:val="Predeterminado"/>
    <w:qFormat/>
    <w:pPr>
      <w:widowControl/>
      <w:tabs>
        <w:tab w:val="left" w:pos="708" w:leader="none"/>
      </w:tabs>
      <w:suppressAutoHyphens w:val="true"/>
      <w:spacing w:lineRule="auto" w:line="256" w:before="0" w:after="160"/>
      <w:jc w:val="both"/>
    </w:pPr>
    <w:rPr>
      <w:rFonts w:ascii="Palatino Linotype" w:hAnsi="Palatino Linotype" w:eastAsia="Times New Roman" w:cs="Palatino Linotype"/>
      <w:color w:val="auto"/>
      <w:sz w:val="20"/>
      <w:szCs w:val="20"/>
      <w:lang w:val="es-AR" w:bidi="ar-SA" w:eastAsia="zh-CN"/>
    </w:rPr>
  </w:style>
  <w:style w:type="paragraph" w:styleId="Cuerpodetextoconsangra">
    <w:name w:val="Body Text Indent"/>
    <w:basedOn w:val="Normal"/>
    <w:pPr>
      <w:spacing w:before="0" w:after="120"/>
      <w:ind w:left="283" w:hanging="0"/>
    </w:pPr>
    <w:rPr/>
  </w:style>
  <w:style w:type="paragraph" w:styleId="Textoindependienteprimerasangra2">
    <w:name w:val="Texto independiente primera sangría 2"/>
    <w:basedOn w:val="Cuerpodetextoconsangra"/>
    <w:qFormat/>
    <w:pPr>
      <w:ind w:left="283" w:firstLine="21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Calibri" w:cs="Times New Roman"/>
      <w:sz w:val="24"/>
      <w:szCs w:val="24"/>
    </w:rPr>
  </w:style>
  <w:style w:type="paragraph" w:styleId="Piedepgina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LibreOffice/5.2.4.2$Linux_X86_64 LibreOffice_project/3d5603e1122f0f102b62521720ab13a38a4e0eb0</Application>
  <Pages>3</Pages>
  <Words>553</Words>
  <Characters>3297</Characters>
  <CharactersWithSpaces>3820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2019-06-17T12:29:00Z</dcterms:created>
  <dc:creator>Pablo</dc:creator>
  <dc:description/>
  <dc:language>es-AR</dc:language>
  <cp:lastModifiedBy>Pablo</cp:lastModifiedBy>
  <dcterms:modified xsi:type="dcterms:W3CDTF">2019-06-19T00:08:00Z</dcterms:modified>
  <cp:revision>11</cp:revision>
  <dc:subject/>
  <dc:title>III COLOQUIO BIZANTINO DE LA UBA</dc:title>
</cp:coreProperties>
</file>